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" w:before="1440"/>
        <w:jc w:val="center"/>
      </w:pPr>
      <w:r>
        <w:rPr>
          <w:rFonts w:ascii="Arial" w:cs="Arial" w:eastAsia="Arial" w:hAnsi="Arial"/>
          <w:b/>
          <w:bCs/>
          <w:color w:val="1F3864"/>
          <w:sz w:val="52"/>
          <w:szCs w:val="52"/>
        </w:rPr>
        <w:t xml:space="preserve">Music Store Management Platform</w:t>
      </w:r>
    </w:p>
    <w:p>
      <w:pPr>
        <w:spacing w:after="120"/>
        <w:jc w:val="center"/>
      </w:pPr>
      <w:r>
        <w:rPr>
          <w:rFonts w:ascii="Arial" w:cs="Arial" w:eastAsia="Arial" w:hAnsi="Arial"/>
          <w:color w:val="2E75B6"/>
          <w:sz w:val="32"/>
          <w:szCs w:val="32"/>
        </w:rPr>
        <w:t xml:space="preserve">Overall System Architecture</w:t>
      </w:r>
    </w:p>
    <w:p>
      <w:pPr>
        <w:spacing w:after="120"/>
        <w:jc w:val="center"/>
      </w:pPr>
      <w:r>
        <w:rPr>
          <w:rFonts w:ascii="Arial" w:cs="Arial" w:eastAsia="Arial" w:hAnsi="Arial"/>
          <w:color w:val="808080"/>
          <w:sz w:val="22"/>
          <w:szCs w:val="22"/>
        </w:rPr>
        <w:t xml:space="preserve">Version 1.0  |  Draft</w:t>
      </w:r>
    </w:p>
    <w:p>
      <w:r>
        <w:br w:type="pag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1. Executive Summary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This document describes the overall architecture of the Music Store Management Platform — a purpose-built system to replace AIM (Tri-Tech) for independent music retailers. The platform handles point-of-sale, inventory, rentals, lessons, repairs, customer management, financial reporting, and payment processing through a modern cloud-native stack.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2. System Overview</w:t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2.1 Goals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Replace legacy AIM/MSSQL system with a modern, maintainable platform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Support in-store desktop operations and mobile field sales (conventions)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Provide customer-facing web portal for billing and repair status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Enable clean migration of historical AIM data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Support future multi-tenant expansion without full rewrite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2.2 Application Inventory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2200"/>
        <w:gridCol w:w="5160"/>
      </w:tblGrid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App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Technology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Purpose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Desktop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Electron + React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Full store management — POS, inventory, repairs, rentals, lessons, reporting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Mobile (iOS)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React Native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Field sales at conventions — POS, customer lookup, Stripe Terminal BT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Customer Portal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React (web)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Self-service — lesson billing, repair status, invoice history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Admin Panel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React (web)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Internal ops — users, settings, audit logs, migration tools, no payments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Backend API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Node.js / Python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REST API on AWS EKS — all business logic, Stripe integration, PDF generation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2.3 Monorepo Structure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/packages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/shared          ← TypeScript types, API clients, business logic, pricing engine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/desktop         ← Electron app (Windows/Mac/Linux)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/mobile          ← React Native iOS app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/web-portal      ← Customer-facing React web app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/admin           ← Internal admin React web app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/backend         ← Node.js/Python API server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/migration       ← AIM MSSQL → Postgres ETL scripts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3. Infrastructure</w:t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3.1 AWS Services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7160"/>
      </w:tblGrid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Service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Usage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EKS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Kubernetes cluster hosting API, admin panel, customer portal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Aurora PostgreSQL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Primary database — all domain data, append-only event sourcing pattern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ElastiCache (Redis)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Session cache, job queues, rate limiting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S3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PDF storage (invoices, reports), database backup archival, static assets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Secrets Manager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Stripe API keys, DB credentials, JWT secrets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CloudWatch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Logging, metrics, alerting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3.2 Database Backup Strategy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Aurora automated continuous backup — point-in-time recovery up to 35 days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Scheduled daily snapshots exported to S3 (separate bucket, cross-region)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Long-term archival snapshots retained 1 year for financial compliance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Recovery runbook documented and tested quarterly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RTO target: 2 hours | RPO target: 1 hour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4. Payment Architecture</w:t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4.1 Stripe Integration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Stripe is the sole payment processor. All payment flows are handled through Stripe. Card data never touches application servers.</w:t>
      </w:r>
    </w:p>
    <w:p>
      <w:pPr>
        <w:spacing w:after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Feature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Usage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Stripe Terminal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In-person payments — WiFi reader (desktop), Bluetooth reader (iOS/mobile)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Stripe Elements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Keyed card entry on desktop — PCI-safe, card data goes direct to Stripe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Subscriptions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Recurring billing for lessons and rentals — monthly, with line items per enrollment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Webhooks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Async payment events — invoice.paid, payment_failed, subscription updates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Card Updater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Automatic card number updates when banks reissue — reduces billing failures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Stripe Connect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Architecture-ready for future multi-tenant expansion (not built initially)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4.2 Billing Model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Accounts are the billing entity — one Stripe customer per account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Students and rentals link to an account — family billing supported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Subscriptions support multiple line items — consolidated billing option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Split billing supported — separate subscriptions per enrollment if preferred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Billing groups control consolidation — enrollments with same group_id share a subscription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5. Authentication &amp; Authorization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Auth provider: Clerk or Auth0 — handles user management, MFA, SSO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Role-based access control: Admin, Manager, Technician, Instructor, Staff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Customer portal uses separate auth flow (email/password or magic link)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All API routes require JWT — validated on every request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Sensitive operations (large discounts, refunds, write-offs) require manager role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6. Cross-Cutting Concerns</w:t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6.1 Audit Trail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Every discount, adjustment, price override, refund, and write-off is logged with: who, when, original value, new value, reason code, and whether approval was required. Audit records are append-only and cannot be deleted.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6.2 Multi-Tenant Readiness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All domain tables include a store_id column from day one. Business logic enforces store_id scoping on all queries. Stripe Connect architecture is documented but not implemented initially. Adding a second tenant is a configuration and billing exercise, not a rewrite.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6.3 Offline Support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iOS mobile app supports offline mode for convention use. Transactions are queued locally and synced when connectivity is restored. The desktop app assumes reliable store network connectivity.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7. AIM Migration Strategy</w:t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7.1 Source System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AIM by Tri-Tech — Windows desktop POS running against a MSSQL (SQL Server Express) database on the store's local network. The application runs from a network share. Migration connects directly to MSSQL — AIM application is not involved.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7.2 Migration Phases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"/>
        <w:gridCol w:w="2400"/>
        <w:gridCol w:w="5520"/>
      </w:tblGrid>
      <w:tr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Phase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Scope</w:t>
            </w:r>
          </w:p>
        </w:tc>
        <w:tc>
          <w:tcPr>
            <w:tcW w:type="dxa" w:w="5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Schema exploration</w:t>
            </w:r>
          </w:p>
        </w:tc>
        <w:tc>
          <w:tcPr>
            <w:tcW w:type="dxa" w:w="5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Connect to AIM MSSQL, map tables to new domain model</w:t>
            </w:r>
          </w:p>
        </w:tc>
      </w:tr>
      <w:tr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2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ETL development</w:t>
            </w:r>
          </w:p>
        </w:tc>
        <w:tc>
          <w:tcPr>
            <w:tcW w:type="dxa" w:w="5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Python scripts: read AIM → transform → load Postgres staging</w:t>
            </w:r>
          </w:p>
        </w:tc>
      </w:tr>
      <w:tr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3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Data validation</w:t>
            </w:r>
          </w:p>
        </w:tc>
        <w:tc>
          <w:tcPr>
            <w:tcW w:type="dxa" w:w="5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Dry runs, exception logging, manual review of edge cases</w:t>
            </w:r>
          </w:p>
        </w:tc>
      </w:tr>
      <w:tr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4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Parallel operation</w:t>
            </w:r>
          </w:p>
        </w:tc>
        <w:tc>
          <w:tcPr>
            <w:tcW w:type="dxa" w:w="5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New system live for new customers, AIM continues for existing</w:t>
            </w:r>
          </w:p>
        </w:tc>
      </w:tr>
      <w:tr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5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Customer migration</w:t>
            </w:r>
          </w:p>
        </w:tc>
        <w:tc>
          <w:tcPr>
            <w:tcW w:type="dxa" w:w="5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Re-enroll active rentals/lessons in Stripe at renewal points</w:t>
            </w:r>
          </w:p>
        </w:tc>
      </w:tr>
      <w:tr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6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AIM wind-down</w:t>
            </w:r>
          </w:p>
        </w:tc>
        <w:tc>
          <w:tcPr>
            <w:tcW w:type="dxa" w:w="5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All recurring billing migrated, AIM read-only, close after chargeback window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7.3 Legacy Data Tagging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All migrated records include: legacy_id (AIM's original ID), legacy_source ('aim'), migrated_at timestamp, and requires_payment_update flag for records still on old processor.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◦"/>
      <w:lvlJc w:val="left"/>
      <w:pPr>
        <w:ind w:left="108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40" w:before="360"/>
      <w:outlineLvl w:val="0"/>
    </w:pPr>
    <w:rPr>
      <w:rFonts w:ascii="Arial" w:cs="Arial" w:eastAsia="Arial" w:hAnsi="Arial"/>
      <w:b/>
      <w:bCs/>
      <w:color w:val="1F3864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280"/>
      <w:outlineLvl w:val="1"/>
    </w:pPr>
    <w:rPr>
      <w:rFonts w:ascii="Arial" w:cs="Arial" w:eastAsia="Arial" w:hAnsi="Arial"/>
      <w:b/>
      <w:bCs/>
      <w:color w:val="2E75B6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Arial" w:cs="Arial" w:eastAsia="Arial" w:hAnsi="Arial"/>
      <w:b/>
      <w:bCs/>
      <w:color w:val="404040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2026-03-26T00:03:13.707Z</dcterms:created>
  <dcterms:modified xsi:type="dcterms:W3CDTF">2026-03-26T00:03:13.707Z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