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" w:before="1440"/>
        <w:jc w:val="center"/>
      </w:pPr>
      <w:r>
        <w:rPr>
          <w:rFonts w:ascii="Arial" w:cs="Arial" w:eastAsia="Arial" w:hAnsi="Arial"/>
          <w:b/>
          <w:bCs/>
          <w:color w:val="1F3864"/>
          <w:sz w:val="52"/>
          <w:szCs w:val="52"/>
        </w:rPr>
        <w:t xml:space="preserve">Music Store Management Platform</w:t>
      </w:r>
    </w:p>
    <w:p>
      <w:pPr>
        <w:spacing w:after="120"/>
        <w:jc w:val="center"/>
      </w:pPr>
      <w:r>
        <w:rPr>
          <w:rFonts w:ascii="Arial" w:cs="Arial" w:eastAsia="Arial" w:hAnsi="Arial"/>
          <w:color w:val="2E75B6"/>
          <w:sz w:val="32"/>
          <w:szCs w:val="32"/>
        </w:rPr>
        <w:t xml:space="preserve">Domain Design: Payments &amp; Billing</w:t>
      </w:r>
    </w:p>
    <w:p>
      <w:r>
        <w:br w:type="pag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1. Overview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Payments domain describes how the application integrates with Stripe for all payment flows. It covers one-time payments at POS, recurring subscription billing for lessons and rentals, webhook event handling, and the AIM migration payment transition strategy.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2. Stripe Entity Model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4560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Stripe Entity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Maps To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Customer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account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One Stripe customer per billing account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PaymentMethod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account_payment_method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pm_xxx stored as reference only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Subscription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enrollment / rental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One per billing group or standalone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SubscriptionItem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enrollment / rental line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One per enrollment/rental within subscription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Invoice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monthly bill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Auto-generated by Stripe on billing date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PaymentIntent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transaction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One-time charges at POS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Reader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terminal device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Physical Stripe Terminal reader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3. Recurring Billing Flow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Account created in app → Stripe Customer created via API → stripe_customer_id stored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Enrollment or rental activated → Stripe Subscription created or line item added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Billing date arrives → Stripe automatically charges payment method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Stripe sends webhook: invoice.paid → app updates subscription status, records payment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Stripe sends webhook: invoice.payment_failed → app flags account, triggers follow-up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Stripe card updater silently updates expired/replaced cards → reduces failed payments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4. Webhook Events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Event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Action</w:t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invoice.paid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Record payment, update subscription status, generate receipt</w:t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invoice.payment_failed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Flag account, notify store staff, trigger retry logic</w:t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customer.subscription.deleted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Update enrollment/rental status to cancelled</w:t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payment_intent.succeeded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Confirm POS transaction, update inventory status</w:t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payment_intent.payment_failed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Revert cart, notify staff</w:t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charge.dispute.created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Alert store management, flag transaction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5. AIM Migration — Payment Transition</w:t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5.1 The Problem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Existing AIM customers on recurring billing (rentals and lessons) are on a legacy payment processor. Stripe tokens are processor-specific — they cannot be transferred. Customers must re-enter their card to move to Stripe.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5.2 Transition Strategy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New customers: go directly to Stripe from day one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Migrated customers: flagged requires_payment_update = true on payment method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At each monthly renewal point, system prompts staff to collect new card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Customer re-enters card via Stripe Elements — new Stripe subscription created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Old processor subscription cancelled after successful Stripe charge confirmed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Both processors run in parallel until all active recurring billing migrated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5.3 Old Processor Wind-Down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Do not close old processor account until 120 days after last transaction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Chargebacks can arrive up to 120 days after transaction — account must remain open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Keep old processor credentials in Secrets Manager until confirmed closed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All historical transaction IDs preserved in database with processor field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6. Database Schema</w:t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6.1 stripe_webhook_event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id, event_id (Stripe's ID), event_type, payload (jsonb),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processed_at, status (received|processed|failed), error_message, created_at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All incoming webhook events are stored before processing. This enables replay if processing fails.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◦"/>
      <w:lvlJc w:val="left"/>
      <w:pPr>
        <w:ind w:left="108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40" w:before="360"/>
      <w:outlineLvl w:val="0"/>
    </w:pPr>
    <w:rPr>
      <w:rFonts w:ascii="Arial" w:cs="Arial" w:eastAsia="Arial" w:hAnsi="Arial"/>
      <w:b/>
      <w:bCs/>
      <w:color w:val="1F3864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280"/>
      <w:outlineLvl w:val="1"/>
    </w:pPr>
    <w:rPr>
      <w:rFonts w:ascii="Arial" w:cs="Arial" w:eastAsia="Arial" w:hAnsi="Arial"/>
      <w:b/>
      <w:bCs/>
      <w:color w:val="2E75B6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Arial" w:cs="Arial" w:eastAsia="Arial" w:hAnsi="Arial"/>
      <w:b/>
      <w:bCs/>
      <w:color w:val="404040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2026-03-26T00:03:13.777Z</dcterms:created>
  <dcterms:modified xsi:type="dcterms:W3CDTF">2026-03-26T00:03:13.777Z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